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14350" cy="762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143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.50pt;height:60.0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tbl>
      <w:tblPr>
        <w:tblpPr w:horzAnchor="margin" w:tblpXSpec="left" w:vertAnchor="page" w:tblpY="1816" w:leftFromText="180" w:topFromText="0" w:rightFromText="180" w:bottomFromText="0"/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253"/>
      </w:tblGrid>
      <w:tr>
        <w:trPr/>
        <w:tc>
          <w:tcPr>
            <w:tcW w:w="4219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муниципального образования «Муниципальный округ Кизнерский район </w:t>
            </w:r>
            <w:r>
              <w:rPr>
                <w:b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b/>
                <w:sz w:val="26"/>
                <w:szCs w:val="26"/>
              </w:rPr>
              <w:t xml:space="preserve">Удмуртской Республики»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«Удмурт Элькунысь </w:t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676"/>
              <w:jc w:val="center"/>
              <w:spacing w:before="0" w:after="0"/>
              <w:rPr>
                <w:i w:val="0"/>
              </w:rPr>
            </w:pPr>
            <w:r>
              <w:rPr>
                <w:i w:val="0"/>
              </w:rPr>
              <w:t xml:space="preserve">Кизнер ёрос </w:t>
            </w:r>
            <w:r>
              <w:rPr>
                <w:i w:val="0"/>
              </w:rPr>
            </w:r>
          </w:p>
          <w:p>
            <w:pPr>
              <w:pStyle w:val="676"/>
              <w:jc w:val="center"/>
              <w:spacing w:before="0" w:after="0"/>
              <w:rPr>
                <w:i w:val="0"/>
              </w:rPr>
            </w:pPr>
            <w:r>
              <w:rPr>
                <w:i w:val="0"/>
              </w:rPr>
              <w:t xml:space="preserve">муниципал округ» </w:t>
            </w:r>
            <w:r>
              <w:rPr>
                <w:i w:val="0"/>
              </w:rPr>
            </w:r>
          </w:p>
          <w:p>
            <w:pPr>
              <w:pStyle w:val="676"/>
              <w:jc w:val="center"/>
              <w:spacing w:before="0" w:after="0"/>
            </w:pPr>
            <w:r>
              <w:rPr>
                <w:i w:val="0"/>
              </w:rPr>
              <w:t xml:space="preserve">муниципал кылдытэтлэн </w:t>
            </w:r>
            <w:r>
              <w:rPr>
                <w:i w:val="0"/>
              </w:rPr>
              <w:t xml:space="preserve">Администрациез</w:t>
            </w:r>
            <w:r/>
          </w:p>
        </w:tc>
      </w:tr>
    </w:tbl>
    <w:p>
      <w:pPr>
        <w:pStyle w:val="674"/>
        <w:jc w:val="left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i/>
          <w:sz w:val="22"/>
          <w:szCs w:val="22"/>
        </w:rPr>
      </w:r>
    </w:p>
    <w:p>
      <w:pPr>
        <w:pStyle w:val="674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74"/>
        <w:rPr>
          <w:b/>
          <w:sz w:val="26"/>
          <w:szCs w:val="26"/>
        </w:rPr>
      </w:pPr>
      <w:r>
        <w:rPr>
          <w:b/>
          <w:sz w:val="40"/>
          <w:szCs w:val="40"/>
        </w:rPr>
        <w:t xml:space="preserve">ПОСТАНОВЛЕН</w:t>
      </w:r>
      <w:r>
        <w:rPr>
          <w:b/>
          <w:sz w:val="40"/>
          <w:szCs w:val="40"/>
        </w:rPr>
        <w:t xml:space="preserve">ИЕ</w:t>
      </w:r>
      <w:r>
        <w:rPr>
          <w:b/>
          <w:sz w:val="26"/>
          <w:szCs w:val="26"/>
        </w:rPr>
      </w:r>
    </w:p>
    <w:p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</w:r>
    </w:p>
    <w:p>
      <w:pPr>
        <w:rPr>
          <w:sz w:val="26"/>
          <w:szCs w:val="26"/>
        </w:rPr>
      </w:pPr>
      <w:r>
        <w:rPr>
          <w:sz w:val="22"/>
          <w:szCs w:val="22"/>
        </w:rPr>
        <w:t xml:space="preserve">                     </w:t>
      </w:r>
      <w:r>
        <w:rPr>
          <w:sz w:val="26"/>
          <w:szCs w:val="26"/>
        </w:rPr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3544"/>
        <w:gridCol w:w="2976"/>
      </w:tblGrid>
      <w:tr>
        <w:trPr>
          <w:trHeight w:val="310"/>
        </w:trPr>
        <w:tc>
          <w:tcPr>
            <w:tcW w:w="3686" w:type="dxa"/>
            <w:textDirection w:val="lrTb"/>
            <w:noWrap w:val="false"/>
          </w:tcPr>
          <w:p>
            <w:pPr>
              <w:pStyle w:val="6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05 </w:t>
            </w:r>
            <w:r>
              <w:rPr>
                <w:sz w:val="26"/>
                <w:szCs w:val="26"/>
              </w:rPr>
              <w:t xml:space="preserve">октября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202</w:t>
            </w: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  <w:r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655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</w:r>
          </w:p>
        </w:tc>
      </w:tr>
      <w:tr>
        <w:trPr>
          <w:trHeight w:val="310"/>
        </w:trPr>
        <w:tc>
          <w:tcPr>
            <w:gridSpan w:val="3"/>
            <w:tcW w:w="10206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04"/>
        </w:trPr>
        <w:tc>
          <w:tcPr>
            <w:gridSpan w:val="3"/>
            <w:tcW w:w="10206" w:type="dxa"/>
            <w:textDirection w:val="lrTb"/>
            <w:noWrap w:val="false"/>
          </w:tcPr>
          <w:p>
            <w:pPr>
              <w:pStyle w:val="68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Кизнер</w:t>
            </w:r>
            <w:r>
              <w:rPr>
                <w:sz w:val="26"/>
                <w:szCs w:val="26"/>
              </w:rPr>
            </w:r>
          </w:p>
        </w:tc>
      </w:tr>
    </w:tbl>
    <w:p>
      <w:pPr>
        <w:ind w:right="5215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</w:r>
    </w:p>
    <w:p>
      <w:pPr>
        <w:ind w:right="5215"/>
        <w:rPr>
          <w:i/>
        </w:rPr>
      </w:pPr>
      <w:r>
        <w:rPr>
          <w:i/>
        </w:rPr>
      </w:r>
      <w:r>
        <w:rPr>
          <w:i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070"/>
      </w:tblGrid>
      <w:tr>
        <w:trPr>
          <w:trHeight w:val="20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70" w:type="dxa"/>
            <w:textDirection w:val="lrTb"/>
            <w:noWrap w:val="false"/>
          </w:tcPr>
          <w:p>
            <w:pPr>
              <w:jc w:val="both"/>
            </w:pPr>
            <w:r>
              <w:t xml:space="preserve">            </w:t>
            </w:r>
            <w:r>
              <w:t xml:space="preserve">Об утверждении Положения об условиях и порядке оказания поддержки субъектам малого и среднего предпринимательства </w:t>
            </w:r>
            <w:r>
              <w:t xml:space="preserve">на территории Кизнерского района</w:t>
            </w:r>
            <w:r/>
          </w:p>
        </w:tc>
      </w:tr>
    </w:tbl>
    <w:p>
      <w:pPr>
        <w:ind w:right="5215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5215"/>
      </w:pPr>
      <w:r>
        <w:rPr>
          <w:sz w:val="28"/>
          <w:szCs w:val="28"/>
        </w:rPr>
        <w:t xml:space="preserve">                   </w:t>
      </w:r>
      <w:r/>
    </w:p>
    <w:p>
      <w:pPr>
        <w:ind w:firstLine="426"/>
        <w:jc w:val="both"/>
      </w:pPr>
      <w:r>
        <w:rPr>
          <w:shd w:val="clear" w:color="auto" w:fill="ffffff"/>
        </w:rPr>
        <w:t xml:space="preserve">      </w:t>
      </w:r>
      <w:r>
        <w:t xml:space="preserve">В соответстви</w:t>
      </w:r>
      <w:r>
        <w:t xml:space="preserve">и с Федеральным законом от 24.07.2007 № 209-ФЗ «О развитии малого и среднего предпринимательства в Российской Федерации», 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r>
        <w:t xml:space="preserve">Кизнерского района</w:t>
      </w:r>
      <w:r>
        <w:rPr>
          <w:shd w:val="clear" w:color="auto" w:fill="ffffff"/>
        </w:rPr>
        <w:t xml:space="preserve">, руководствуясь Уставом муниципального образования «Муниципальный округ Кизнерский район Удмуртской Республики», </w:t>
      </w:r>
      <w:r>
        <w:t xml:space="preserve">Администрация муниципального образования «Муниципальный округ Кизнерский район Удмуртской Республики»</w:t>
      </w:r>
      <w:r/>
    </w:p>
    <w:p>
      <w:pPr>
        <w:ind w:firstLine="426"/>
        <w:jc w:val="both"/>
      </w:pPr>
      <w:r>
        <w:t xml:space="preserve"> </w:t>
      </w:r>
      <w:r>
        <w:t xml:space="preserve"> П О С Т А Н О В Л Я Е Т:</w:t>
      </w:r>
      <w:r/>
    </w:p>
    <w:p>
      <w:pPr>
        <w:jc w:val="both"/>
        <w:widowControl w:val="off"/>
      </w:pPr>
      <w:r>
        <w:t xml:space="preserve">        </w:t>
      </w:r>
      <w:r>
        <w:t xml:space="preserve">1.     Утвердить Положение </w:t>
      </w:r>
      <w:r>
        <w:t xml:space="preserve">об условиях и порядке оказания поддержки субъектам малого и среднего предпринимательства </w:t>
      </w:r>
      <w:r>
        <w:t xml:space="preserve">на территории Кизнерского района</w:t>
      </w:r>
      <w:r>
        <w:t xml:space="preserve"> согласно приложению.</w:t>
      </w:r>
      <w:r/>
    </w:p>
    <w:p>
      <w:pPr>
        <w:jc w:val="both"/>
      </w:pPr>
      <w:r>
        <w:t xml:space="preserve">        2</w:t>
      </w:r>
      <w:r>
        <w:t xml:space="preserve">.   Опубликовать настоящее постановление на официальном сайте </w:t>
      </w:r>
      <w:r>
        <w:t xml:space="preserve">муниципального образования «Муниципальный округ </w:t>
      </w:r>
      <w:r>
        <w:t xml:space="preserve">Кизнерский район</w:t>
      </w:r>
      <w:r>
        <w:t xml:space="preserve"> Удмуртской Республики</w:t>
      </w:r>
      <w:r>
        <w:t xml:space="preserve">»</w:t>
      </w:r>
      <w:r>
        <w:t xml:space="preserve"> </w:t>
      </w:r>
      <w:r>
        <w:t xml:space="preserve">(</w:t>
      </w:r>
      <w:hyperlink r:id="rId12" w:tooltip="http://www.mykizner.ru" w:history="1">
        <w:r>
          <w:rPr>
            <w:rStyle w:val="700"/>
            <w:lang w:val="en-US"/>
          </w:rPr>
          <w:t xml:space="preserve">www</w:t>
        </w:r>
        <w:r>
          <w:rPr>
            <w:rStyle w:val="700"/>
          </w:rPr>
          <w:t xml:space="preserve">.</w:t>
        </w:r>
        <w:r>
          <w:rPr>
            <w:rStyle w:val="700"/>
            <w:lang w:val="en-US"/>
          </w:rPr>
          <w:t xml:space="preserve">mykizner</w:t>
        </w:r>
        <w:r>
          <w:rPr>
            <w:rStyle w:val="700"/>
          </w:rPr>
          <w:t xml:space="preserve">.</w:t>
        </w:r>
        <w:r>
          <w:rPr>
            <w:rStyle w:val="700"/>
            <w:lang w:val="en-US"/>
          </w:rPr>
          <w:t xml:space="preserve">ru</w:t>
        </w:r>
      </w:hyperlink>
      <w:r>
        <w:t xml:space="preserve">)</w:t>
      </w:r>
      <w:r>
        <w:t xml:space="preserve">.</w:t>
      </w:r>
      <w:r/>
    </w:p>
    <w:p>
      <w:pPr>
        <w:jc w:val="both"/>
      </w:pPr>
      <w:r>
        <w:t xml:space="preserve">         </w:t>
      </w:r>
      <w:r>
        <w:t xml:space="preserve">3</w:t>
      </w:r>
      <w:r>
        <w:t xml:space="preserve">.</w:t>
      </w:r>
      <w:r>
        <w:t xml:space="preserve"> </w:t>
      </w:r>
      <w:r>
        <w:t xml:space="preserve"> </w:t>
      </w:r>
      <w:r>
        <w:t xml:space="preserve">  </w:t>
      </w:r>
      <w:r>
        <w:t xml:space="preserve">Настоящее постановление вступа</w:t>
      </w:r>
      <w:r>
        <w:t xml:space="preserve">е</w:t>
      </w:r>
      <w:r>
        <w:t xml:space="preserve">т в силу с момента подписания.</w:t>
      </w:r>
      <w:r/>
    </w:p>
    <w:p>
      <w:r/>
      <w:r/>
    </w:p>
    <w:p>
      <w:pPr>
        <w:ind w:right="5215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88"/>
        <w:jc w:val="both"/>
        <w:widowControl/>
        <w:rPr>
          <w:rFonts w:ascii="Times New Roman" w:hAnsi="Times New Roman"/>
          <w:i/>
          <w:sz w:val="22"/>
          <w:szCs w:val="22"/>
        </w:rPr>
        <w:outlineLvl w:val="0"/>
      </w:pP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i/>
          <w:sz w:val="22"/>
          <w:szCs w:val="22"/>
        </w:rPr>
      </w:r>
    </w:p>
    <w:p>
      <w:r>
        <w:t xml:space="preserve">Глава Кизнерского района                                         </w:t>
      </w:r>
      <w:r>
        <w:t xml:space="preserve">         </w:t>
      </w:r>
      <w:r>
        <w:t xml:space="preserve">             </w:t>
      </w:r>
      <w:r>
        <w:t xml:space="preserve">  </w:t>
      </w:r>
      <w:r>
        <w:t xml:space="preserve">   </w:t>
      </w:r>
      <w:r>
        <w:t xml:space="preserve"> </w:t>
      </w:r>
      <w:r>
        <w:t xml:space="preserve">               </w:t>
      </w:r>
      <w:r>
        <w:t xml:space="preserve">А.И.Плотников</w:t>
      </w:r>
      <w:r/>
    </w:p>
    <w:p>
      <w:r/>
      <w:r/>
    </w:p>
    <w:p>
      <w:r/>
      <w:r/>
    </w:p>
    <w:p>
      <w:r/>
      <w:r/>
    </w:p>
    <w:p>
      <w:r/>
      <w:r/>
    </w:p>
    <w:p>
      <w:pPr>
        <w:pStyle w:val="694"/>
        <w:ind w:left="-567" w:firstLine="141"/>
        <w:tabs>
          <w:tab w:val="left" w:pos="-42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</w:r>
    </w:p>
    <w:p>
      <w:pPr>
        <w:pStyle w:val="67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к </w:t>
      </w:r>
      <w:r>
        <w:rPr>
          <w:sz w:val="24"/>
          <w:szCs w:val="24"/>
        </w:rPr>
        <w:t xml:space="preserve">постановлению</w:t>
      </w:r>
      <w:r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</w:r>
    </w:p>
    <w:p>
      <w:pPr>
        <w:pStyle w:val="67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Кизнерск</w:t>
      </w:r>
      <w:r>
        <w:rPr>
          <w:sz w:val="24"/>
          <w:szCs w:val="24"/>
        </w:rPr>
        <w:t xml:space="preserve">ого</w:t>
      </w:r>
      <w:r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05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</w:t>
      </w:r>
      <w:r>
        <w:rPr>
          <w:sz w:val="24"/>
          <w:szCs w:val="24"/>
        </w:rPr>
        <w:t xml:space="preserve">тября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г. №</w:t>
      </w:r>
      <w:r>
        <w:rPr>
          <w:sz w:val="24"/>
          <w:szCs w:val="24"/>
        </w:rPr>
        <w:t xml:space="preserve">655</w:t>
      </w:r>
      <w:r>
        <w:rPr>
          <w:sz w:val="24"/>
          <w:szCs w:val="24"/>
        </w:rPr>
      </w:r>
    </w:p>
    <w:p>
      <w:pPr>
        <w:pStyle w:val="694"/>
        <w:ind w:left="-567" w:firstLine="141"/>
        <w:tabs>
          <w:tab w:val="left" w:pos="-42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94"/>
        <w:ind w:left="-567" w:firstLine="141"/>
        <w:tabs>
          <w:tab w:val="left" w:pos="-42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94"/>
        <w:ind w:left="-567" w:firstLine="141"/>
        <w:tabs>
          <w:tab w:val="left" w:pos="-42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</w:pPr>
      <w:r/>
      <w:bookmarkStart w:id="0" w:name="_Hlk99717361"/>
      <w:r>
        <w:t xml:space="preserve">ПОЛОЖЕНИЕ </w:t>
      </w:r>
      <w:r/>
    </w:p>
    <w:p>
      <w:pPr>
        <w:jc w:val="center"/>
        <w:widowControl w:val="off"/>
      </w:pPr>
      <w:r>
        <w:t xml:space="preserve">об условиях и порядке оказания поддержки субъектам малого и среднего предпринимательства </w:t>
      </w:r>
      <w:bookmarkEnd w:id="0"/>
      <w:r>
        <w:t xml:space="preserve">на территории Кизнерского района</w:t>
      </w:r>
      <w:r/>
    </w:p>
    <w:p>
      <w:pPr>
        <w:jc w:val="center"/>
      </w:pPr>
      <w:r/>
      <w:r/>
    </w:p>
    <w:p>
      <w:pPr>
        <w:ind w:firstLine="708"/>
        <w:jc w:val="both"/>
        <w:widowControl w:val="off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1. Настоящее Положение об условиях и порядке оказания поддержки субъектам малого и среднего предпринимательства </w:t>
      </w:r>
      <w:bookmarkStart w:id="1" w:name="_Hlk99638735"/>
      <w:r>
        <w:t xml:space="preserve">на территории Кизнерского района</w:t>
      </w:r>
      <w:r>
        <w:t xml:space="preserve"> </w:t>
      </w:r>
      <w:bookmarkEnd w:id="1"/>
      <w:r>
        <w:rPr>
          <w:color w:val="000000"/>
          <w:lang w:eastAsia="zh-CN"/>
        </w:rPr>
        <w:t xml:space="preserve">(далее – Полож</w:t>
      </w:r>
      <w:r>
        <w:rPr>
          <w:color w:val="000000"/>
          <w:lang w:eastAsia="zh-CN"/>
        </w:rPr>
        <w:t xml:space="preserve">ение) разработано в соответствии с Федеральным законом от 24.07.2007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</w:t>
      </w:r>
      <w:r>
        <w:t xml:space="preserve">на территории Кизнерского района</w:t>
      </w:r>
      <w:r>
        <w:rPr>
          <w:color w:val="000000"/>
          <w:lang w:eastAsia="zh-CN"/>
        </w:rPr>
        <w:t xml:space="preserve">.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2. Основными принципами поддержки субъектов малого и среднего предпринимательства являются: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1) заявительный порядок обращения субъектов малого и среднего предпринимательства за оказанием поддержки;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3)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</w:t>
      </w:r>
      <w:r>
        <w:rPr>
          <w:color w:val="000000"/>
          <w:lang w:eastAsia="zh-CN"/>
        </w:rPr>
        <w:t xml:space="preserve">ой</w:t>
      </w:r>
      <w:r>
        <w:rPr>
          <w:color w:val="000000"/>
          <w:lang w:eastAsia="zh-CN"/>
        </w:rPr>
        <w:t xml:space="preserve"> программ</w:t>
      </w:r>
      <w:r>
        <w:rPr>
          <w:color w:val="000000"/>
          <w:lang w:eastAsia="zh-CN"/>
        </w:rPr>
        <w:t xml:space="preserve">ы</w:t>
      </w:r>
      <w:r>
        <w:rPr>
          <w:color w:val="000000"/>
          <w:lang w:eastAsia="zh-CN"/>
        </w:rPr>
        <w:t xml:space="preserve"> </w:t>
      </w:r>
      <w:r>
        <w:rPr>
          <w:bCs/>
          <w:color w:val="000000"/>
        </w:rPr>
        <w:t xml:space="preserve">«Создание условий для устойчивого экономического развития» на 2020-2025 годы</w:t>
      </w:r>
      <w:r>
        <w:rPr>
          <w:color w:val="000000"/>
          <w:lang w:eastAsia="zh-CN"/>
        </w:rPr>
        <w:t xml:space="preserve">, к участию в указанной программе;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4) оказание поддержки с соблюдением требований, установленных Федеральным законом от 26 июля 2006 года № 135-ФЗ «О защите конкуренции»;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5) открытость процедур оказания поддержки.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3.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</w:t>
      </w:r>
      <w:r>
        <w:rPr>
          <w:color w:val="000000"/>
          <w:lang w:eastAsia="zh-CN"/>
        </w:rPr>
        <w:t xml:space="preserve"> условиям, предусмотренным ст. 4</w:t>
      </w:r>
      <w:r>
        <w:rPr>
          <w:color w:val="000000"/>
          <w:lang w:eastAsia="zh-CN"/>
        </w:rPr>
        <w:t xml:space="preserve"> Федерального закона от 24.07.2007 № 209-ФЗ «О развитии малого и среднего предпринимательства в Российской Федерации» и муниципальными правовыми актами, принимаемыми в целях реализации муниципальн</w:t>
      </w:r>
      <w:r>
        <w:rPr>
          <w:color w:val="000000"/>
          <w:lang w:eastAsia="zh-CN"/>
        </w:rPr>
        <w:t xml:space="preserve">ой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программы</w:t>
      </w:r>
      <w:r>
        <w:rPr>
          <w:color w:val="000000"/>
          <w:lang w:eastAsia="zh-CN"/>
        </w:rPr>
        <w:t xml:space="preserve"> </w:t>
      </w:r>
      <w:r>
        <w:rPr>
          <w:bCs/>
          <w:color w:val="000000"/>
        </w:rPr>
        <w:t xml:space="preserve">«Создание условий для устойчивого экономического развития» на 2020-2025 годы</w:t>
      </w:r>
      <w:r>
        <w:rPr>
          <w:color w:val="000000"/>
          <w:lang w:eastAsia="zh-CN"/>
        </w:rPr>
        <w:t xml:space="preserve">. 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Субъектами малого и среднего предпринимательства, претендующим на получение поддержки, должны быть предоставлены следующие документы: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- заявление на получение поддержки;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- копии регистрационных, учредительных документов со всеми действующими изменениями и дополнениями;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- копии лицензии на заявленную деятельность (при наличии);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- </w:t>
      </w:r>
      <w:r>
        <w:rPr>
          <w:color w:val="000000"/>
          <w:lang w:eastAsia="zh-CN"/>
        </w:rPr>
        <w:t xml:space="preserve">справки из налогового органа об отсутствии задолженности по платежам в бюджет;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- документ, подтверждающий правоспособность представителя заявителя заключать договор от имени юридического лица</w:t>
      </w:r>
      <w:r>
        <w:rPr>
          <w:color w:val="000000"/>
          <w:lang w:eastAsia="zh-CN"/>
        </w:rPr>
        <w:t xml:space="preserve">.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Документы, подтверждающие их соответствие условиям, которые установлены статьей 4 Федерального закона от 24.07.2007 № 209-ФЗ: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- налоговую декларацию за предшествующий отчетный период;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- справку о средней численности работников за предшествующий календарный год;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- бухгалтерский баланс за предшествующий отчетный период.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</w:t>
      </w:r>
      <w:r>
        <w:rPr>
          <w:color w:val="000000"/>
          <w:lang w:eastAsia="zh-CN"/>
        </w:rPr>
        <w:t xml:space="preserve">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№ 210-ФЗ «Об организации предоставления государственных и муниципальных услуг» перечень документов.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4. Поддержка оказывается субъектам малого и среднего предпринимательства, если они: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осуществляют свою деятельность </w:t>
      </w:r>
      <w:r>
        <w:t xml:space="preserve">на территории </w:t>
      </w:r>
      <w:r>
        <w:t xml:space="preserve">Кизнерского района</w:t>
      </w:r>
      <w:r>
        <w:rPr>
          <w:color w:val="000000"/>
          <w:lang w:eastAsia="zh-CN"/>
        </w:rPr>
        <w:t xml:space="preserve">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не находятся в стадии приостановления деятельности, реорганизации, ликвидации или банкротства.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Поддержка не может оказываться в отношении субъектов малого и среднего предпринимательства: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2) являющихся участниками соглашений о разделе продукции;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3) осуществляющих предпринимательскую деятельность в сфере игорного бизнеса;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5. В оказании поддержки должно быть отказано в случае, если: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1) 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2) не выполнены условия оказания поддержки;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3) ране</w:t>
      </w:r>
      <w:r>
        <w:rPr>
          <w:color w:val="000000"/>
          <w:lang w:eastAsia="zh-CN"/>
        </w:rPr>
        <w:t xml:space="preserve">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6.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</w:t>
      </w:r>
      <w:r>
        <w:rPr>
          <w:color w:val="000000"/>
          <w:lang w:eastAsia="zh-CN"/>
        </w:rPr>
        <w:t xml:space="preserve">Кизнерского района</w:t>
      </w:r>
      <w:r>
        <w:rPr>
          <w:i/>
        </w:rPr>
        <w:t xml:space="preserve"> </w:t>
      </w:r>
      <w:r>
        <w:rPr>
          <w:color w:val="000000"/>
          <w:lang w:eastAsia="zh-CN"/>
        </w:rPr>
        <w:t xml:space="preserve">согласно приложению к настоящему Положению. 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  <w:r>
        <w:rPr>
          <w:color w:val="000000"/>
          <w:lang w:eastAsia="zh-CN"/>
        </w:rPr>
      </w:r>
    </w:p>
    <w:p>
      <w:pPr>
        <w:ind w:firstLine="709"/>
        <w:jc w:val="both"/>
        <w:tabs>
          <w:tab w:val="left" w:pos="1134" w:leader="none"/>
        </w:tabs>
        <w:rPr>
          <w:color w:val="000000"/>
          <w:lang w:eastAsia="zh-CN"/>
        </w:rPr>
      </w:pPr>
      <w:r>
        <w:rPr>
          <w:color w:val="000000"/>
          <w:lang w:eastAsia="zh-CN"/>
        </w:rPr>
        <w:t xml:space="preserve">7.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территории сельского поселения, может осуществляться в следующих формах: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- финансовая; 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- имущественная; 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- информационная;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- консультационная;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/>
      <w:bookmarkStart w:id="2" w:name="YANDEX_91"/>
      <w:r/>
      <w:bookmarkEnd w:id="2"/>
      <w:r>
        <w:rPr>
          <w:color w:val="000000"/>
          <w:lang w:eastAsia="zh-CN"/>
        </w:rPr>
        <w:t xml:space="preserve">- иные формы поддержки, предусмотренные ст. 16 Федеральным законом от 24.07.2007 № 209-ФЗ «О развитии малого и среднего предпринимательства в Российской Федерации».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8. Оказание финансовой подд</w:t>
      </w:r>
      <w:r>
        <w:rPr>
          <w:color w:val="000000"/>
          <w:lang w:eastAsia="zh-CN"/>
        </w:rPr>
        <w:t xml:space="preserve">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бюджета </w:t>
      </w:r>
      <w:r>
        <w:rPr>
          <w:color w:val="000000"/>
          <w:lang w:eastAsia="zh-CN"/>
        </w:rPr>
        <w:t xml:space="preserve">Кизнерского района</w:t>
      </w:r>
      <w:r>
        <w:t xml:space="preserve"> </w:t>
      </w:r>
      <w:r>
        <w:rPr>
          <w:color w:val="000000"/>
          <w:lang w:eastAsia="zh-CN"/>
        </w:rPr>
        <w:t xml:space="preserve">пут</w:t>
      </w:r>
      <w:r>
        <w:rPr>
          <w:color w:val="000000"/>
          <w:lang w:eastAsia="zh-CN"/>
        </w:rPr>
        <w:t xml:space="preserve">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Финансовая поддержка субъектов малого и среднего предпринимательства, предусмотренная настоящим пунктом, не может оказываться субъектам малого и среднего предприн</w:t>
      </w:r>
      <w:r>
        <w:rPr>
          <w:color w:val="000000"/>
          <w:lang w:eastAsia="zh-CN"/>
        </w:rPr>
        <w:t xml:space="preserve">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9. Оказание имущественной поддержки субъектам</w:t>
      </w:r>
      <w:r>
        <w:rPr>
          <w:color w:val="000000"/>
          <w:lang w:eastAsia="zh-CN"/>
        </w:rPr>
        <w:t xml:space="preserve"> малого и среднего 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муниципального имущества, в том числе земельн</w:t>
      </w:r>
      <w:r>
        <w:rPr>
          <w:color w:val="000000"/>
          <w:lang w:eastAsia="zh-CN"/>
        </w:rPr>
        <w:t xml:space="preserve">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</w:t>
      </w:r>
      <w:r>
        <w:rPr>
          <w:color w:val="000000"/>
          <w:lang w:eastAsia="zh-CN"/>
        </w:rPr>
        <w:t xml:space="preserve">в, установок, транспортных средств, инвентаря,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10. Оказание информационной поддержки субъектам малого и среднего предпринимательства</w:t>
      </w:r>
      <w:r>
        <w:rPr>
          <w:color w:val="000000"/>
          <w:lang w:eastAsia="zh-CN"/>
        </w:rPr>
        <w:t xml:space="preserve"> и организациям, образующим инфраструктуру поддержки субъектов малого и среднего предпринимательства, осуществляется в виде создания муниципальных информационных систем, официальных сайтов информационной поддержки субъектов малого и среднего предпринимател</w:t>
      </w:r>
      <w:r>
        <w:rPr>
          <w:color w:val="000000"/>
          <w:lang w:eastAsia="zh-CN"/>
        </w:rPr>
        <w:t xml:space="preserve">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предпринимательства, создаваемых в целях обеспечения субъектов малого и среднего предпринимательства и органи</w:t>
      </w:r>
      <w:r>
        <w:rPr>
          <w:color w:val="000000"/>
          <w:lang w:eastAsia="zh-CN"/>
        </w:rPr>
        <w:t xml:space="preserve">заций, образующих инфраструктуру поддержки субъектов малого и среднего предпринимательства, информацией, предусмотренной ст. 19 настоящего Федерального закона от 24.07.2007 № 209-ФЗ «О развитии малого и среднего предпринимательства в Российской Федерации».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11. Информация, указанная в пункте 10 настоящего Положения, является общедоступной и размещается в сети «Интернет» на официальном сайте Администрации </w:t>
      </w:r>
      <w:r>
        <w:rPr>
          <w:color w:val="000000"/>
          <w:lang w:eastAsia="zh-CN"/>
        </w:rPr>
        <w:t xml:space="preserve">Кизнерского района</w:t>
      </w:r>
      <w:r>
        <w:t xml:space="preserve"> </w:t>
      </w:r>
      <w:r>
        <w:rPr>
          <w:color w:val="000000"/>
          <w:lang w:eastAsia="zh-CN"/>
        </w:rPr>
        <w:t xml:space="preserve">и (или) созданных официальных сайтах информационной поддержки субъектов малого и среднего предпринимательства в сети «Интернет».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12. Оказание консультационной поддержки субъектам малого и среднего предпринимательства может осуществляться в виде: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Консультационная поддержка также может оказываться в виде проведения консультаций:</w:t>
      </w:r>
      <w:r>
        <w:rPr>
          <w:color w:val="000000"/>
          <w:lang w:eastAsia="zh-CN"/>
        </w:rPr>
      </w:r>
    </w:p>
    <w:p>
      <w:pPr>
        <w:ind w:firstLine="709"/>
        <w:jc w:val="both"/>
      </w:pPr>
      <w:r>
        <w:rPr>
          <w:color w:val="000000"/>
          <w:lang w:eastAsia="zh-CN"/>
        </w:rPr>
        <w:t xml:space="preserve">по вопросам применения действующего законодательства, регулирующего деятельность субъектов малого и среднего предпринимательства;</w:t>
      </w:r>
      <w:r>
        <w:t xml:space="preserve"> </w:t>
      </w:r>
      <w:r/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по вопросам регистрации субъектов предпринимательской деятельности;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по вопросам лицензирования отдельных видов деятельности;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по вопросам о существующих формах и источниках финансовой поддержки малого и среднего предпринимательства;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по вопросам организации торговли, общественного питания и бытового обслуживания;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по вопросам предоставления в аренду муниципального имущества и земельных участков;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по вопросам осуществления закупок товаров, работ, услуг для обеспечения муниципальных нужд.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Консультационная поддержка субъектов малого и среднего предпринимательства может оказываться в следующих формах: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в устной форме – лицам, обратившимся посредством телефонной связи или лично;</w:t>
      </w:r>
      <w:r>
        <w:rPr>
          <w:color w:val="000000"/>
          <w:lang w:eastAsia="zh-CN"/>
        </w:rPr>
      </w:r>
    </w:p>
    <w:p>
      <w:pPr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в письменной форме – юридическим и физическим лицам по обращениям.</w:t>
      </w:r>
      <w:r>
        <w:rPr>
          <w:color w:val="000000"/>
          <w:lang w:eastAsia="zh-CN"/>
        </w:rPr>
      </w:r>
    </w:p>
    <w:p>
      <w:pPr>
        <w:ind w:firstLine="709"/>
        <w:jc w:val="both"/>
        <w:keepNext/>
        <w:shd w:val="clear" w:color="auto" w:fill="ffffff"/>
        <w:rPr>
          <w:bCs/>
          <w:color w:val="000000"/>
          <w:spacing w:val="-1"/>
        </w:rPr>
        <w:outlineLvl w:val="0"/>
      </w:pPr>
      <w:r>
        <w:rPr>
          <w:bCs/>
          <w:color w:val="000000"/>
          <w:spacing w:val="-1"/>
        </w:rPr>
        <w:t xml:space="preserve">14. Администрация </w:t>
      </w:r>
      <w:r>
        <w:rPr>
          <w:bCs/>
          <w:color w:val="000000"/>
          <w:spacing w:val="-1"/>
        </w:rPr>
        <w:t xml:space="preserve">Кизнерского района</w:t>
      </w:r>
      <w:r>
        <w:rPr>
          <w:bCs/>
          <w:color w:val="000000"/>
          <w:spacing w:val="-1"/>
        </w:rPr>
        <w:t xml:space="preserve">, осуществляет ведение реестра</w:t>
      </w:r>
      <w:bookmarkStart w:id="3" w:name="YANDEX_272"/>
      <w:r/>
      <w:bookmarkEnd w:id="3"/>
      <w:r>
        <w:rPr>
          <w:bCs/>
          <w:color w:val="000000"/>
          <w:spacing w:val="-1"/>
        </w:rPr>
        <w:t xml:space="preserve"> </w:t>
      </w:r>
      <w:r>
        <w:rPr>
          <w:bCs/>
          <w:color w:val="000000"/>
          <w:spacing w:val="-1"/>
        </w:rPr>
        <w:t xml:space="preserve">субъектов</w:t>
      </w:r>
      <w:bookmarkStart w:id="4" w:name="YANDEX_273"/>
      <w:r/>
      <w:bookmarkEnd w:id="4"/>
      <w:r>
        <w:rPr>
          <w:bCs/>
          <w:color w:val="000000"/>
          <w:spacing w:val="-1"/>
        </w:rPr>
        <w:t xml:space="preserve"> малого </w:t>
      </w:r>
      <w:bookmarkStart w:id="5" w:name="YANDEX_274"/>
      <w:r/>
      <w:bookmarkEnd w:id="5"/>
      <w:r>
        <w:rPr>
          <w:bCs/>
          <w:color w:val="000000"/>
          <w:spacing w:val="-1"/>
        </w:rPr>
        <w:t xml:space="preserve">и </w:t>
      </w:r>
      <w:bookmarkStart w:id="6" w:name="YANDEX_275"/>
      <w:r/>
      <w:bookmarkEnd w:id="6"/>
      <w:r>
        <w:rPr>
          <w:bCs/>
          <w:color w:val="000000"/>
          <w:spacing w:val="-1"/>
        </w:rPr>
        <w:t xml:space="preserve">среднего</w:t>
      </w:r>
      <w:bookmarkStart w:id="7" w:name="YANDEX_276"/>
      <w:r/>
      <w:bookmarkEnd w:id="7"/>
      <w:r>
        <w:rPr>
          <w:bCs/>
          <w:color w:val="000000"/>
          <w:spacing w:val="-1"/>
        </w:rPr>
        <w:t xml:space="preserve"> предпринимательства</w:t>
      </w:r>
      <w:r>
        <w:rPr>
          <w:color w:val="000000"/>
          <w:spacing w:val="-1"/>
        </w:rPr>
        <w:t xml:space="preserve"> </w:t>
      </w:r>
      <w:r>
        <w:rPr>
          <w:bCs/>
          <w:color w:val="000000"/>
          <w:spacing w:val="-1"/>
        </w:rPr>
        <w:t xml:space="preserve">– получателей </w:t>
      </w:r>
      <w:bookmarkStart w:id="8" w:name="YANDEX_277"/>
      <w:r/>
      <w:bookmarkEnd w:id="8"/>
      <w:r>
        <w:rPr>
          <w:bCs/>
          <w:color w:val="000000"/>
          <w:spacing w:val="-1"/>
        </w:rPr>
        <w:t xml:space="preserve">поддержки </w:t>
      </w:r>
      <w:r>
        <w:t xml:space="preserve">на территории </w:t>
      </w:r>
      <w:r>
        <w:t xml:space="preserve">Кизнерского района</w:t>
      </w:r>
      <w:r>
        <w:rPr>
          <w:bCs/>
          <w:color w:val="000000"/>
          <w:spacing w:val="-1"/>
        </w:rPr>
        <w:t xml:space="preserve">.</w:t>
      </w:r>
      <w:r>
        <w:rPr>
          <w:bCs/>
          <w:color w:val="000000"/>
          <w:spacing w:val="-1"/>
        </w:rPr>
      </w:r>
    </w:p>
    <w:p>
      <w:pPr>
        <w:ind w:firstLine="709"/>
        <w:jc w:val="both"/>
        <w:keepNext/>
        <w:shd w:val="clear" w:color="auto" w:fill="ffffff"/>
        <w:rPr>
          <w:bCs/>
          <w:color w:val="000000"/>
          <w:spacing w:val="-1"/>
        </w:rPr>
        <w:outlineLvl w:val="0"/>
      </w:pPr>
      <w:r>
        <w:rPr>
          <w:bCs/>
          <w:color w:val="000000"/>
          <w:spacing w:val="-1"/>
        </w:rPr>
        <w:t xml:space="preserve">Информация, содержащаяся в реестре</w:t>
      </w:r>
      <w:bookmarkStart w:id="9" w:name="YANDEX_280"/>
      <w:r/>
      <w:bookmarkEnd w:id="9"/>
      <w:r>
        <w:rPr>
          <w:bCs/>
          <w:color w:val="000000"/>
          <w:spacing w:val="-1"/>
        </w:rPr>
        <w:t xml:space="preserve"> субъектов</w:t>
      </w:r>
      <w:bookmarkStart w:id="10" w:name="YANDEX_281"/>
      <w:r/>
      <w:bookmarkEnd w:id="10"/>
      <w:r>
        <w:rPr>
          <w:bCs/>
          <w:color w:val="000000"/>
          <w:spacing w:val="-1"/>
        </w:rPr>
        <w:t xml:space="preserve"> малого </w:t>
      </w:r>
      <w:bookmarkStart w:id="11" w:name="YANDEX_282"/>
      <w:r/>
      <w:bookmarkEnd w:id="11"/>
      <w:r>
        <w:rPr>
          <w:bCs/>
          <w:color w:val="000000"/>
          <w:spacing w:val="-1"/>
        </w:rPr>
        <w:t xml:space="preserve">и</w:t>
      </w:r>
      <w:bookmarkStart w:id="12" w:name="YANDEX_283"/>
      <w:r/>
      <w:bookmarkEnd w:id="12"/>
      <w:r>
        <w:rPr>
          <w:bCs/>
          <w:color w:val="000000"/>
          <w:spacing w:val="-1"/>
        </w:rPr>
        <w:t xml:space="preserve"> среднего </w:t>
      </w:r>
      <w:bookmarkStart w:id="13" w:name="YANDEX_284"/>
      <w:r/>
      <w:bookmarkEnd w:id="13"/>
      <w:r>
        <w:rPr>
          <w:bCs/>
          <w:color w:val="000000"/>
          <w:spacing w:val="-1"/>
        </w:rPr>
        <w:t xml:space="preserve">предпринимательства</w:t>
      </w:r>
      <w:r>
        <w:rPr>
          <w:bCs/>
          <w:color w:val="000000"/>
          <w:spacing w:val="-1"/>
        </w:rPr>
        <w:t xml:space="preserve"> </w:t>
      </w:r>
      <w:r>
        <w:rPr>
          <w:bCs/>
          <w:color w:val="000000"/>
          <w:spacing w:val="-1"/>
        </w:rPr>
        <w:t xml:space="preserve">– получателей </w:t>
      </w:r>
      <w:bookmarkStart w:id="14" w:name="YANDEX_285"/>
      <w:r/>
      <w:bookmarkEnd w:id="14"/>
      <w:r>
        <w:rPr>
          <w:bCs/>
          <w:color w:val="000000"/>
          <w:spacing w:val="-1"/>
        </w:rPr>
        <w:t xml:space="preserve">поддержки является общедоступной.</w:t>
      </w:r>
      <w:r>
        <w:rPr>
          <w:bCs/>
          <w:color w:val="000000"/>
          <w:spacing w:val="-1"/>
        </w:rPr>
      </w:r>
    </w:p>
    <w:p>
      <w:pPr>
        <w:ind w:firstLine="709"/>
        <w:spacing w:line="300" w:lineRule="auto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ind w:left="5103"/>
        <w:jc w:val="center"/>
        <w:rPr>
          <w:color w:val="000000"/>
          <w:lang w:eastAsia="zh-CN"/>
        </w:rPr>
      </w:pPr>
      <w:r>
        <w:t xml:space="preserve">Приложение</w:t>
      </w:r>
      <w:r>
        <w:t xml:space="preserve"> </w:t>
      </w:r>
      <w:r>
        <w:t xml:space="preserve">к Положению об условиях и порядке оказания поддержки субъектам малого и среднего предпринимательства на территории </w:t>
      </w:r>
      <w:r>
        <w:t xml:space="preserve">Кизнерского района</w:t>
      </w:r>
      <w:r>
        <w:rPr>
          <w:color w:val="000000"/>
          <w:lang w:eastAsia="zh-CN"/>
        </w:rPr>
      </w:r>
    </w:p>
    <w:p>
      <w:pPr>
        <w:ind w:left="5103"/>
        <w:jc w:val="both"/>
        <w:rPr>
          <w:color w:val="000000"/>
          <w:spacing w:val="-1"/>
        </w:rPr>
      </w:pPr>
      <w:r>
        <w:rPr>
          <w:color w:val="000000"/>
          <w:spacing w:val="-1"/>
        </w:rPr>
      </w:r>
      <w:r>
        <w:rPr>
          <w:color w:val="000000"/>
          <w:spacing w:val="-1"/>
        </w:rPr>
      </w:r>
    </w:p>
    <w:p>
      <w:pPr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ПОРЯДОК</w:t>
      </w:r>
      <w:r>
        <w:rPr>
          <w:color w:val="000000"/>
          <w:spacing w:val="-1"/>
        </w:rPr>
      </w:r>
    </w:p>
    <w:p>
      <w:pPr>
        <w:jc w:val="center"/>
        <w:rPr>
          <w:bCs/>
          <w:color w:val="000000"/>
          <w:spacing w:val="-1"/>
        </w:rPr>
      </w:pPr>
      <w:r>
        <w:rPr>
          <w:color w:val="000000"/>
          <w:spacing w:val="-1"/>
        </w:rPr>
        <w:t xml:space="preserve">рассмотрения обращений субъектов малого и среднего предпринимательства в Администрации </w:t>
      </w:r>
      <w:r>
        <w:t xml:space="preserve">Кизнерского района</w:t>
      </w:r>
      <w:r>
        <w:rPr>
          <w:bCs/>
          <w:color w:val="000000"/>
          <w:spacing w:val="-1"/>
        </w:rPr>
      </w:r>
    </w:p>
    <w:p>
      <w:pPr>
        <w:ind w:firstLine="709"/>
        <w:jc w:val="both"/>
      </w:pPr>
      <w:r>
        <w:t xml:space="preserve">1. </w:t>
      </w:r>
      <w:bookmarkStart w:id="15" w:name="sub_22001"/>
      <w:r>
        <w:t xml:space="preserve">Настоящий Порядок рассмотрения обращений субъектов малого и среднего предпринимательства в Администрации </w:t>
      </w:r>
      <w:r>
        <w:t xml:space="preserve">Кизнерского района</w:t>
      </w:r>
      <w:r>
        <w:t xml:space="preserve"> </w:t>
      </w:r>
      <w:r>
        <w:t xml:space="preserve">(далее – Порядок) в рамках поддержки субъектов малого и среднего предпринимательства определяет сроки и последовательность действий Администрации </w:t>
      </w:r>
      <w:r>
        <w:t xml:space="preserve">Кизнерского района</w:t>
      </w:r>
      <w:r>
        <w:t xml:space="preserve"> </w:t>
      </w:r>
      <w:r>
        <w:t xml:space="preserve">(далее – </w:t>
      </w:r>
      <w:r>
        <w:t xml:space="preserve">А</w:t>
      </w:r>
      <w:r>
        <w:t xml:space="preserve">дминистрация</w:t>
      </w:r>
      <w:bookmarkEnd w:id="15"/>
      <w:r>
        <w:t xml:space="preserve">). </w:t>
      </w:r>
      <w:r/>
    </w:p>
    <w:p>
      <w:pPr>
        <w:ind w:firstLine="709"/>
        <w:jc w:val="both"/>
      </w:pPr>
      <w:r>
        <w:t xml:space="preserve">2.</w:t>
      </w:r>
      <w:bookmarkStart w:id="16" w:name="sub_22002"/>
      <w:r>
        <w:t xml:space="preserve"> Рассмотрение обращений субъектов малого и среднего предпринимательства осуществляется в соответствии с:</w:t>
      </w:r>
      <w:bookmarkEnd w:id="16"/>
      <w:r/>
      <w:r/>
    </w:p>
    <w:p>
      <w:pPr>
        <w:ind w:firstLine="709"/>
        <w:jc w:val="both"/>
      </w:pPr>
      <w:r>
        <w:t xml:space="preserve">- Федеральным законом от 06.10.2003 года № 131-ФЗ «Об общих принципах организации местного самоуправления в Российской Федерации»; </w:t>
      </w:r>
      <w:r/>
    </w:p>
    <w:p>
      <w:pPr>
        <w:ind w:firstLine="709"/>
        <w:jc w:val="both"/>
      </w:pPr>
      <w:r>
        <w:t xml:space="preserve">- Федеральным законом от 24.07.2007 года № 209-ФЗ «О развитии малого и среднего предпринимательства в Российской Федерации»;</w:t>
      </w:r>
      <w:r/>
    </w:p>
    <w:p>
      <w:pPr>
        <w:ind w:firstLine="709"/>
        <w:jc w:val="both"/>
      </w:pPr>
      <w:r>
        <w:t xml:space="preserve">- Федеральным законом от 02.05.2006 года № 59-ФЗ «О порядке рассмотрения обращений граждан Российской Федерации»;</w:t>
      </w:r>
      <w:r/>
    </w:p>
    <w:p>
      <w:pPr>
        <w:ind w:firstLine="709"/>
        <w:jc w:val="both"/>
      </w:pPr>
      <w:r>
        <w:t xml:space="preserve">- Уставом муниципального образования «</w:t>
      </w:r>
      <w:r>
        <w:t xml:space="preserve">Муниципальный округ Кизнерский район Удмуртской Республики</w:t>
      </w:r>
      <w:r>
        <w:t xml:space="preserve">». </w:t>
      </w:r>
      <w:r/>
    </w:p>
    <w:p>
      <w:pPr>
        <w:ind w:firstLine="709"/>
        <w:jc w:val="both"/>
      </w:pPr>
      <w:r>
        <w:t xml:space="preserve">3.</w:t>
      </w:r>
      <w:bookmarkStart w:id="17" w:name="sub_22003"/>
      <w:r>
        <w:t xml:space="preserve"> Учет, регистрация и рассмотрение обращений субъектов малого и среднего предпринимательства осуществляе</w:t>
      </w:r>
      <w:r>
        <w:t xml:space="preserve">тся должностными лицами Администрации Кизнерского района</w:t>
      </w:r>
      <w:r>
        <w:t xml:space="preserve"> в соответствии с их компетенцией.</w:t>
      </w:r>
      <w:bookmarkStart w:id="18" w:name="sub_22006"/>
      <w:r/>
      <w:bookmarkEnd w:id="17"/>
      <w:r/>
      <w:r/>
    </w:p>
    <w:p>
      <w:pPr>
        <w:ind w:firstLine="709"/>
        <w:jc w:val="both"/>
      </w:pPr>
      <w:r>
        <w:t xml:space="preserve">4.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18"/>
      <w:r/>
      <w:r/>
    </w:p>
    <w:p>
      <w:pPr>
        <w:ind w:firstLine="709"/>
        <w:jc w:val="both"/>
      </w:pPr>
      <w:r>
        <w:t xml:space="preserve">В исключительных случаях Г</w:t>
      </w:r>
      <w:r>
        <w:t xml:space="preserve">лава </w:t>
      </w:r>
      <w:r>
        <w:t xml:space="preserve">Кизнерского района </w:t>
      </w:r>
      <w:r>
        <w:t xml:space="preserve">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  <w:r/>
    </w:p>
    <w:p>
      <w:pPr>
        <w:ind w:firstLine="709"/>
        <w:jc w:val="both"/>
      </w:pPr>
      <w:r>
        <w:t xml:space="preserve">Запрос о продлении срока рассмотрения обращения должен быть оформлен не менее чем за 2-3 дня до истечения срока исполнения.</w:t>
      </w:r>
      <w:r/>
    </w:p>
    <w:p>
      <w:pPr>
        <w:ind w:firstLine="709"/>
        <w:jc w:val="both"/>
      </w:pPr>
      <w:r>
        <w:t xml:space="preserve">5.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  <w:r/>
    </w:p>
    <w:p>
      <w:pPr>
        <w:ind w:firstLine="709"/>
        <w:jc w:val="both"/>
      </w:pPr>
      <w:r>
        <w:t xml:space="preserve">6.</w:t>
      </w:r>
      <w:bookmarkStart w:id="19" w:name="sub_22007"/>
      <w:r>
        <w:t xml:space="preserve"> Глава </w:t>
      </w:r>
      <w:r>
        <w:t xml:space="preserve">Кизнерского района</w:t>
      </w:r>
      <w:r>
        <w:t xml:space="preserve"> вправе устанавливать сокращенные сроки рассмотрения отдельных обращений.</w:t>
      </w:r>
      <w:bookmarkEnd w:id="19"/>
      <w:r/>
      <w:r/>
    </w:p>
    <w:p>
      <w:pPr>
        <w:ind w:firstLine="709"/>
        <w:jc w:val="both"/>
      </w:pPr>
      <w:r>
        <w:t xml:space="preserve">7. </w:t>
      </w:r>
      <w:bookmarkStart w:id="20" w:name="sub_22008"/>
      <w:r>
        <w:t xml:space="preserve">Письменное обращение заявителя в обязат</w:t>
      </w:r>
      <w:r>
        <w:t xml:space="preserve">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  <w:bookmarkEnd w:id="20"/>
      <w:r/>
      <w:r/>
    </w:p>
    <w:p>
      <w:pPr>
        <w:ind w:firstLine="709"/>
        <w:jc w:val="both"/>
      </w:pPr>
      <w:r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</w:t>
      </w:r>
      <w:r>
        <w:t xml:space="preserve">Кизнерского района</w:t>
      </w:r>
      <w:r>
        <w:t xml:space="preserve">.</w:t>
      </w:r>
      <w:r/>
    </w:p>
    <w:p>
      <w:pPr>
        <w:ind w:firstLine="709"/>
        <w:jc w:val="both"/>
      </w:pPr>
      <w:r>
        <w:t xml:space="preserve">8.</w:t>
      </w:r>
      <w:bookmarkStart w:id="21" w:name="sub_22009"/>
      <w:r>
        <w:t xml:space="preserve">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  <w:bookmarkEnd w:id="21"/>
      <w:r/>
      <w:r/>
    </w:p>
    <w:p>
      <w:pPr>
        <w:ind w:firstLine="709"/>
        <w:jc w:val="both"/>
      </w:pPr>
      <w:r>
        <w:t xml:space="preserve">9. </w:t>
      </w:r>
      <w:bookmarkStart w:id="22" w:name="sub_22010"/>
      <w:r>
        <w:t xml:space="preserve">Субъекты малого и среднего предпринимательства при рассмотрении обращения имеют право:</w:t>
      </w:r>
      <w:bookmarkEnd w:id="22"/>
      <w:r/>
      <w:r/>
    </w:p>
    <w:p>
      <w:pPr>
        <w:ind w:firstLine="709"/>
        <w:jc w:val="both"/>
      </w:pPr>
      <w:r>
        <w:t xml:space="preserve">запрашивать информацию о дате и номере регистрации обращения;</w:t>
      </w:r>
      <w:r/>
    </w:p>
    <w:p>
      <w:pPr>
        <w:ind w:firstLine="709"/>
        <w:jc w:val="both"/>
      </w:pPr>
      <w:r>
        <w:t xml:space="preserve">представлять дополнительные документы и материалы по рассматриваемому обращению либо обращаться с просьбой об их истребовании;</w:t>
      </w:r>
      <w:r/>
    </w:p>
    <w:p>
      <w:pPr>
        <w:ind w:firstLine="709"/>
        <w:jc w:val="both"/>
      </w:pPr>
      <w: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и</w:t>
      </w:r>
      <w:r>
        <w:t xml:space="preserve">,</w:t>
      </w:r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  <w:r/>
    </w:p>
    <w:p>
      <w:pPr>
        <w:ind w:firstLine="709"/>
        <w:jc w:val="both"/>
      </w:pPr>
      <w:r>
        <w:t xml:space="preserve">получать письменный мотивирован</w:t>
      </w:r>
      <w:r>
        <w:t xml:space="preserve">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  <w:r/>
    </w:p>
    <w:p>
      <w:pPr>
        <w:ind w:firstLine="709"/>
        <w:jc w:val="both"/>
      </w:pPr>
      <w:r>
        <w:t xml:space="preserve"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  <w:r/>
    </w:p>
    <w:p>
      <w:pPr>
        <w:ind w:firstLine="709"/>
        <w:jc w:val="both"/>
      </w:pPr>
      <w:r>
        <w:t xml:space="preserve">обращаться с заявлением о прекращении рассмотрения обращения.</w:t>
      </w:r>
      <w:r/>
    </w:p>
    <w:p>
      <w:pPr>
        <w:ind w:firstLine="709"/>
        <w:jc w:val="both"/>
      </w:pPr>
      <w:r>
        <w:t xml:space="preserve">10. Должностные лица </w:t>
      </w:r>
      <w:r>
        <w:t xml:space="preserve">А</w:t>
      </w:r>
      <w:r>
        <w:t xml:space="preserve">дминистрации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  <w:r/>
    </w:p>
    <w:p>
      <w:pPr>
        <w:ind w:firstLine="709"/>
        <w:jc w:val="both"/>
      </w:pPr>
      <w:r>
        <w:t xml:space="preserve"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r/>
    </w:p>
    <w:p>
      <w:pPr>
        <w:ind w:firstLine="709"/>
        <w:jc w:val="both"/>
      </w:pPr>
      <w:r>
        <w:t xml:space="preserve">обеспечив</w:t>
      </w:r>
      <w:r>
        <w:t xml:space="preserve">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r/>
    </w:p>
    <w:p>
      <w:pPr>
        <w:ind w:firstLine="709"/>
        <w:jc w:val="both"/>
      </w:pPr>
      <w:r>
        <w:t xml:space="preserve">информируют представителей субъектов малого и среднего предпринимательства о порядке реализации их права на обращение;</w:t>
      </w:r>
      <w:r/>
    </w:p>
    <w:p>
      <w:pPr>
        <w:ind w:firstLine="709"/>
        <w:jc w:val="both"/>
      </w:pPr>
      <w:r>
        <w:t xml:space="preserve">принимают меры по разрешению поставленных в обращениях вопросов и устранению выявленных нарушений;</w:t>
      </w:r>
      <w:r/>
    </w:p>
    <w:p>
      <w:pPr>
        <w:ind w:firstLine="709"/>
        <w:jc w:val="both"/>
      </w:pPr>
      <w:r>
        <w:t xml:space="preserve"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  <w:r/>
    </w:p>
    <w:p>
      <w:pPr>
        <w:ind w:firstLine="709"/>
        <w:jc w:val="both"/>
      </w:pPr>
      <w:r>
        <w:t xml:space="preserve">направляют субъектам малого и среднего предпринимательства письменные ответы по существу поставленных в обращении вопросов;</w:t>
      </w:r>
      <w:r/>
    </w:p>
    <w:p>
      <w:pPr>
        <w:ind w:firstLine="709"/>
        <w:jc w:val="both"/>
      </w:pPr>
      <w:r>
        <w:t xml:space="preserve">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  <w:r/>
    </w:p>
    <w:p>
      <w:pPr>
        <w:ind w:firstLine="709"/>
        <w:jc w:val="both"/>
      </w:pPr>
      <w:r>
        <w:t xml:space="preserve">проверяют исполнение ранее принятых ими решений по обращениям.</w:t>
      </w:r>
      <w:r/>
    </w:p>
    <w:p>
      <w:pPr>
        <w:ind w:firstLine="709"/>
        <w:jc w:val="both"/>
      </w:pPr>
      <w:r>
        <w:t xml:space="preserve">11. </w:t>
      </w:r>
      <w:bookmarkStart w:id="23" w:name="sub_22012"/>
      <w:r>
        <w:t xml:space="preserve">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  <w:bookmarkEnd w:id="23"/>
      <w:r/>
      <w:r/>
    </w:p>
    <w:p>
      <w:pPr>
        <w:ind w:firstLine="709"/>
        <w:jc w:val="both"/>
      </w:pPr>
      <w:r>
        <w:t xml:space="preserve">12. </w:t>
      </w:r>
      <w:bookmarkStart w:id="24" w:name="sub_22013"/>
      <w:r>
        <w:t xml:space="preserve">Конечным результатом исполнения рассмотрения обращений субъектов малого и среднего предпринимательства является:</w:t>
      </w:r>
      <w:bookmarkEnd w:id="24"/>
      <w:r/>
      <w:r/>
    </w:p>
    <w:p>
      <w:pPr>
        <w:ind w:firstLine="709"/>
        <w:jc w:val="both"/>
      </w:pPr>
      <w:r>
        <w:t xml:space="preserve">направление заявителю письменного ответа по существу поставленных в обращении вопросов;</w:t>
      </w:r>
      <w:r/>
    </w:p>
    <w:p>
      <w:pPr>
        <w:ind w:firstLine="709"/>
        <w:jc w:val="both"/>
      </w:pPr>
      <w:r>
        <w:t xml:space="preserve">направление письменного обращения, содержащего вопросы, решение которых не входит в компетенцию </w:t>
      </w:r>
      <w:r>
        <w:t xml:space="preserve">Администрации</w:t>
      </w:r>
      <w:r>
        <w:t xml:space="preserve">, в течение 7 дней со дня регистра</w:t>
      </w:r>
      <w:r>
        <w:t xml:space="preserve">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</w:t>
      </w:r>
      <w:r>
        <w:t xml:space="preserve">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  <w:r/>
    </w:p>
    <w:p>
      <w:pPr>
        <w:ind w:firstLine="709"/>
        <w:jc w:val="both"/>
      </w:pPr>
      <w:r>
        <w:t xml:space="preserve">13. </w:t>
      </w:r>
      <w:bookmarkStart w:id="25" w:name="sub_22014"/>
      <w:r>
        <w:t xml:space="preserve"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Start w:id="26" w:name="sub_22015"/>
      <w:r/>
      <w:bookmarkEnd w:id="25"/>
      <w:r/>
      <w:r/>
    </w:p>
    <w:p>
      <w:pPr>
        <w:ind w:firstLine="709"/>
        <w:jc w:val="both"/>
      </w:pPr>
      <w:r>
        <w:t xml:space="preserve">14. Обращение заявителя не подлежит рассмотрению, если:</w:t>
      </w:r>
      <w:bookmarkEnd w:id="26"/>
      <w:r/>
      <w:r/>
    </w:p>
    <w:p>
      <w:pPr>
        <w:ind w:firstLine="709"/>
        <w:jc w:val="both"/>
      </w:pPr>
      <w:r>
        <w:t xml:space="preserve"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</w:t>
      </w:r>
      <w:r>
        <w:t xml:space="preserve">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  <w:r/>
    </w:p>
    <w:p>
      <w:pPr>
        <w:ind w:firstLine="709"/>
        <w:jc w:val="both"/>
      </w:pPr>
      <w:r>
        <w:t xml:space="preserve">текст письменного обращения не поддается прочтению;</w:t>
      </w:r>
      <w:r/>
    </w:p>
    <w:p>
      <w:pPr>
        <w:ind w:firstLine="709"/>
        <w:jc w:val="both"/>
      </w:pPr>
      <w:r>
        <w:t xml:space="preserve"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  <w:r/>
    </w:p>
    <w:p>
      <w:pPr>
        <w:ind w:firstLine="709"/>
        <w:jc w:val="both"/>
      </w:pPr>
      <w:r>
        <w:t xml:space="preserve">в обращении обжалуется судебный акт;</w:t>
      </w:r>
      <w:r/>
    </w:p>
    <w:p>
      <w:pPr>
        <w:ind w:firstLine="709"/>
        <w:jc w:val="both"/>
      </w:pPr>
      <w:r>
        <w:t xml:space="preserve">от заявителя поступило заявление о прекращении рассмотрения обращения;</w:t>
      </w:r>
      <w:r/>
    </w:p>
    <w:p>
      <w:pPr>
        <w:ind w:firstLine="709"/>
        <w:jc w:val="both"/>
      </w:pPr>
      <w:r>
        <w:t xml:space="preserve"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  <w:r/>
    </w:p>
    <w:p>
      <w:pPr>
        <w:ind w:firstLine="709"/>
        <w:jc w:val="both"/>
      </w:pPr>
      <w:r>
        <w:t xml:space="preserve">обращение подано через представителя, полномочия которого не удостоверены в установленном действующем законодательством порядке.</w:t>
      </w:r>
      <w:r/>
    </w:p>
    <w:p>
      <w:pPr>
        <w:ind w:firstLine="709"/>
        <w:jc w:val="both"/>
      </w:pPr>
      <w:r>
        <w:t xml:space="preserve">15. </w:t>
      </w:r>
      <w:bookmarkStart w:id="27" w:name="sub_22016"/>
      <w:r>
        <w:t xml:space="preserve">Обращение заявителя по решению </w:t>
      </w:r>
      <w:r>
        <w:t xml:space="preserve">Г</w:t>
      </w:r>
      <w:r>
        <w:t xml:space="preserve">лавы </w:t>
      </w:r>
      <w:r>
        <w:t xml:space="preserve">Кизнерского района</w:t>
      </w:r>
      <w: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28" w:name="sub_22017"/>
      <w:r/>
      <w:bookmarkEnd w:id="27"/>
      <w:r/>
      <w:r/>
    </w:p>
    <w:p>
      <w:pPr>
        <w:ind w:firstLine="709"/>
        <w:jc w:val="both"/>
      </w:pPr>
      <w:r>
        <w:t xml:space="preserve">16. Прекращение переписки с заяви</w:t>
      </w:r>
      <w:r>
        <w:t xml:space="preserve">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>
        <w:t xml:space="preserve">Кизнерского района</w:t>
      </w:r>
      <w:r>
        <w:t xml:space="preserve"> вправе принять решение о безосновательности очередного обращения и прекращения переписки с заяв</w:t>
      </w:r>
      <w:r>
        <w:t xml:space="preserve">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29" w:name="sub_22018"/>
      <w:r/>
      <w:bookmarkEnd w:id="28"/>
      <w:r/>
      <w:bookmarkEnd w:id="29"/>
      <w:r/>
    </w:p>
    <w:p>
      <w:pPr>
        <w:ind w:firstLine="709"/>
        <w:jc w:val="both"/>
      </w:pPr>
      <w:r>
        <w:t xml:space="preserve">17. Текст ответа на обращение должен излагаться четко, последовательно, кра</w:t>
      </w:r>
      <w:r>
        <w:t xml:space="preserve">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30" w:name="sub_22022"/>
      <w:r/>
      <w:r/>
    </w:p>
    <w:p>
      <w:pPr>
        <w:ind w:firstLine="709"/>
        <w:jc w:val="both"/>
      </w:pPr>
      <w:r>
        <w:t xml:space="preserve">18. После регистрации ответ отправляется заявителю самостоятельно должностными лицами, рассматривающими обращение.</w:t>
      </w:r>
      <w:bookmarkStart w:id="31" w:name="sub_22023"/>
      <w:r/>
      <w:bookmarkEnd w:id="30"/>
      <w:r/>
      <w:r/>
    </w:p>
    <w:p>
      <w:pPr>
        <w:ind w:firstLine="709"/>
        <w:jc w:val="both"/>
      </w:pPr>
      <w:r>
        <w:t xml:space="preserve">19. Субъекты малого </w:t>
      </w:r>
      <w:r>
        <w:t xml:space="preserve">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31"/>
      <w:r/>
      <w:r/>
    </w:p>
    <w:sectPr>
      <w:headerReference w:type="default" r:id="rId9"/>
      <w:footnotePr/>
      <w:endnotePr/>
      <w:type w:val="nextPage"/>
      <w:pgSz w:w="11906" w:h="16838" w:orient="portrait"/>
      <w:pgMar w:top="567" w:right="1134" w:bottom="992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jc w:val="center"/>
    </w:pPr>
    <w:fldSimple w:instr="PAGE \* MERGEFORMAT">
      <w:r>
        <w:t xml:space="preserve">1</w:t>
      </w:r>
    </w:fldSimple>
    <w:r/>
    <w:r/>
  </w:p>
  <w:p>
    <w:pPr>
      <w:pStyle w:val="6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65" w:hanging="360"/>
        <w:tabs>
          <w:tab w:val="num" w:pos="76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suff w:val="tab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554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62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39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7106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8174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7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7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7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6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7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7"/>
    <w:link w:val="689"/>
    <w:uiPriority w:val="99"/>
  </w:style>
  <w:style w:type="character" w:styleId="45">
    <w:name w:val="Footer Char"/>
    <w:basedOn w:val="677"/>
    <w:link w:val="691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1"/>
    <w:uiPriority w:val="99"/>
  </w:style>
  <w:style w:type="table" w:styleId="49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7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7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rPr>
      <w:sz w:val="24"/>
      <w:szCs w:val="24"/>
    </w:rPr>
  </w:style>
  <w:style w:type="paragraph" w:styleId="674">
    <w:name w:val="Heading 1"/>
    <w:basedOn w:val="673"/>
    <w:next w:val="673"/>
    <w:link w:val="685"/>
    <w:qFormat/>
    <w:pPr>
      <w:jc w:val="center"/>
      <w:keepNext/>
      <w:outlineLvl w:val="0"/>
    </w:pPr>
    <w:rPr>
      <w:sz w:val="28"/>
      <w:szCs w:val="20"/>
    </w:rPr>
  </w:style>
  <w:style w:type="paragraph" w:styleId="675">
    <w:name w:val="Heading 2"/>
    <w:basedOn w:val="673"/>
    <w:next w:val="673"/>
    <w:qFormat/>
    <w:pPr>
      <w:keepNext/>
      <w:outlineLvl w:val="1"/>
    </w:pPr>
    <w:rPr>
      <w:szCs w:val="20"/>
    </w:rPr>
  </w:style>
  <w:style w:type="paragraph" w:styleId="676">
    <w:name w:val="Heading 5"/>
    <w:basedOn w:val="673"/>
    <w:next w:val="673"/>
    <w:link w:val="695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681" w:customStyle="1">
    <w:name w:val="ConsPlusTitle"/>
    <w:pPr>
      <w:widowControl w:val="off"/>
    </w:pPr>
    <w:rPr>
      <w:rFonts w:ascii="Arial" w:hAnsi="Arial" w:cs="Arial"/>
      <w:b/>
      <w:bCs/>
    </w:rPr>
  </w:style>
  <w:style w:type="table" w:styleId="682">
    <w:name w:val="Table Grid"/>
    <w:basedOn w:val="67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3">
    <w:name w:val="Balloon Text"/>
    <w:basedOn w:val="673"/>
    <w:semiHidden/>
    <w:rPr>
      <w:rFonts w:ascii="Tahoma" w:hAnsi="Tahoma" w:cs="Tahoma"/>
      <w:sz w:val="16"/>
      <w:szCs w:val="16"/>
    </w:rPr>
  </w:style>
  <w:style w:type="paragraph" w:styleId="684">
    <w:name w:val="Body Text"/>
    <w:basedOn w:val="673"/>
    <w:link w:val="693"/>
    <w:pPr>
      <w:jc w:val="center"/>
    </w:pPr>
    <w:rPr>
      <w:sz w:val="20"/>
    </w:rPr>
  </w:style>
  <w:style w:type="character" w:styleId="685" w:customStyle="1">
    <w:name w:val="Заголовок 1 Знак"/>
    <w:link w:val="674"/>
    <w:rPr>
      <w:sz w:val="28"/>
      <w:lang w:val="ru-RU" w:eastAsia="ru-RU" w:bidi="ar-SA"/>
    </w:rPr>
  </w:style>
  <w:style w:type="character" w:styleId="686">
    <w:name w:val="Strong"/>
    <w:qFormat/>
    <w:rPr>
      <w:b/>
      <w:bCs/>
    </w:rPr>
  </w:style>
  <w:style w:type="paragraph" w:styleId="687" w:customStyle="1">
    <w:name w:val="cenpt"/>
    <w:basedOn w:val="673"/>
    <w:pPr>
      <w:spacing w:before="100" w:beforeAutospacing="1" w:after="100" w:afterAutospacing="1"/>
    </w:pPr>
  </w:style>
  <w:style w:type="paragraph" w:styleId="688" w:customStyle="1">
    <w:name w:val="ConsPlusNonformat"/>
    <w:pPr>
      <w:widowControl w:val="off"/>
    </w:pPr>
    <w:rPr>
      <w:rFonts w:ascii="Courier New" w:hAnsi="Courier New" w:cs="Tahoma"/>
    </w:rPr>
  </w:style>
  <w:style w:type="paragraph" w:styleId="689">
    <w:name w:val="Header"/>
    <w:basedOn w:val="673"/>
    <w:link w:val="690"/>
    <w:uiPriority w:val="99"/>
    <w:pPr>
      <w:widowControl w:val="off"/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690" w:customStyle="1">
    <w:name w:val="Верхний колонтитул Знак"/>
    <w:basedOn w:val="677"/>
    <w:link w:val="689"/>
    <w:uiPriority w:val="99"/>
  </w:style>
  <w:style w:type="paragraph" w:styleId="691">
    <w:name w:val="Footer"/>
    <w:basedOn w:val="673"/>
    <w:link w:val="692"/>
    <w:pPr>
      <w:tabs>
        <w:tab w:val="center" w:pos="4677" w:leader="none"/>
        <w:tab w:val="right" w:pos="9355" w:leader="none"/>
      </w:tabs>
    </w:pPr>
  </w:style>
  <w:style w:type="character" w:styleId="692" w:customStyle="1">
    <w:name w:val="Нижний колонтитул Знак"/>
    <w:link w:val="691"/>
    <w:rPr>
      <w:sz w:val="24"/>
      <w:szCs w:val="24"/>
    </w:rPr>
  </w:style>
  <w:style w:type="character" w:styleId="693" w:customStyle="1">
    <w:name w:val="Основной текст Знак"/>
    <w:link w:val="684"/>
    <w:rPr>
      <w:szCs w:val="24"/>
    </w:rPr>
  </w:style>
  <w:style w:type="paragraph" w:styleId="69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695" w:customStyle="1">
    <w:name w:val="Заголовок 5 Знак"/>
    <w:link w:val="676"/>
    <w:rPr>
      <w:b/>
      <w:bCs/>
      <w:i/>
      <w:iCs/>
      <w:sz w:val="26"/>
      <w:szCs w:val="26"/>
    </w:rPr>
  </w:style>
  <w:style w:type="paragraph" w:styleId="696">
    <w:name w:val="Title"/>
    <w:basedOn w:val="673"/>
    <w:link w:val="697"/>
    <w:qFormat/>
    <w:pPr>
      <w:jc w:val="center"/>
    </w:pPr>
    <w:rPr>
      <w:b/>
      <w:sz w:val="22"/>
      <w:szCs w:val="20"/>
      <w:u w:val="single"/>
    </w:rPr>
  </w:style>
  <w:style w:type="character" w:styleId="697" w:customStyle="1">
    <w:name w:val="Название Знак"/>
    <w:link w:val="696"/>
    <w:rPr>
      <w:b/>
      <w:sz w:val="22"/>
      <w:u w:val="single"/>
    </w:rPr>
  </w:style>
  <w:style w:type="paragraph" w:styleId="698">
    <w:name w:val="List Paragraph"/>
    <w:basedOn w:val="673"/>
    <w:link w:val="699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699" w:customStyle="1">
    <w:name w:val="Абзац списка Знак"/>
    <w:link w:val="698"/>
    <w:uiPriority w:val="99"/>
    <w:rPr>
      <w:rFonts w:ascii="Calibri" w:hAnsi="Calibri" w:eastAsia="Calibri" w:cs="Times New Roman"/>
      <w:sz w:val="22"/>
      <w:szCs w:val="22"/>
      <w:lang w:eastAsia="en-US"/>
    </w:rPr>
  </w:style>
  <w:style w:type="character" w:styleId="700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www.mykizne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BDED3-153F-43E1-9278-5BA96EDE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Home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NetS</dc:creator>
  <cp:revision>7</cp:revision>
  <dcterms:created xsi:type="dcterms:W3CDTF">2023-09-18T11:01:00Z</dcterms:created>
  <dcterms:modified xsi:type="dcterms:W3CDTF">2023-10-06T06:05:42Z</dcterms:modified>
</cp:coreProperties>
</file>